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67" w:type="dxa"/>
        <w:tblLayout w:type="fixed"/>
        <w:tblLook w:val="04A0" w:firstRow="1" w:lastRow="0" w:firstColumn="1" w:lastColumn="0" w:noHBand="0" w:noVBand="1"/>
      </w:tblPr>
      <w:tblGrid>
        <w:gridCol w:w="659"/>
        <w:gridCol w:w="1179"/>
        <w:gridCol w:w="1418"/>
        <w:gridCol w:w="1275"/>
        <w:gridCol w:w="1134"/>
        <w:gridCol w:w="851"/>
        <w:gridCol w:w="1978"/>
        <w:gridCol w:w="904"/>
        <w:gridCol w:w="790"/>
        <w:gridCol w:w="1158"/>
        <w:gridCol w:w="1287"/>
        <w:gridCol w:w="1098"/>
        <w:gridCol w:w="236"/>
      </w:tblGrid>
      <w:tr w:rsidR="001F4BC3" w:rsidRPr="001F4BC3" w:rsidTr="007817FF">
        <w:trPr>
          <w:trHeight w:val="990"/>
        </w:trPr>
        <w:tc>
          <w:tcPr>
            <w:tcW w:w="137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bookmarkStart w:id="0" w:name="_GoBack"/>
            <w:bookmarkEnd w:id="0"/>
            <w:r w:rsidRPr="001F4BC3">
              <w:rPr>
                <w:rFonts w:hint="eastAsia"/>
                <w:b/>
                <w:bCs/>
                <w:sz w:val="36"/>
              </w:rPr>
              <w:t>伊犁川宁生物技术股份有限公司危险废物污染环境防治信息表</w:t>
            </w:r>
          </w:p>
        </w:tc>
        <w:tc>
          <w:tcPr>
            <w:tcW w:w="236" w:type="dxa"/>
            <w:tcBorders>
              <w:top w:val="nil"/>
              <w:left w:val="nil"/>
              <w:bottom w:val="single" w:sz="4" w:space="0" w:color="auto"/>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24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序号</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废物名称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废物代码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废物类别</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部门</w:t>
            </w:r>
            <w:r w:rsidRPr="001F4BC3">
              <w:rPr>
                <w:rFonts w:hint="eastAsia"/>
                <w:b/>
                <w:bCs/>
              </w:rPr>
              <w:t>/</w:t>
            </w:r>
            <w:r w:rsidRPr="001F4BC3">
              <w:rPr>
                <w:rFonts w:hint="eastAsia"/>
                <w:b/>
                <w:bCs/>
              </w:rPr>
              <w:t>车间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负责人</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电话</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本年度计划产生量</w:t>
            </w:r>
            <w:r w:rsidRPr="001F4BC3">
              <w:rPr>
                <w:rFonts w:hint="eastAsia"/>
                <w:b/>
                <w:bCs/>
              </w:rPr>
              <w:br/>
              <w:t>(</w:t>
            </w:r>
            <w:r w:rsidRPr="001F4BC3">
              <w:rPr>
                <w:rFonts w:hint="eastAsia"/>
                <w:b/>
                <w:bCs/>
              </w:rPr>
              <w:t>吨）</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来源及生产工序</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处置方式</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减少危险废物产生量和危害性的措施</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备注</w:t>
            </w:r>
          </w:p>
        </w:tc>
        <w:tc>
          <w:tcPr>
            <w:tcW w:w="236" w:type="dxa"/>
            <w:tcBorders>
              <w:top w:val="single" w:sz="4" w:space="0" w:color="auto"/>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639"/>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1</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废树脂</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900-015-13</w:t>
            </w:r>
          </w:p>
        </w:tc>
        <w:tc>
          <w:tcPr>
            <w:tcW w:w="1275"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HW13 </w:t>
            </w:r>
            <w:r w:rsidRPr="001F4BC3">
              <w:rPr>
                <w:rFonts w:hint="eastAsia"/>
                <w:b/>
                <w:bCs/>
              </w:rPr>
              <w:t>有机树脂类废物</w:t>
            </w: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头</w:t>
            </w:r>
            <w:proofErr w:type="gramStart"/>
            <w:r w:rsidRPr="001F4BC3">
              <w:rPr>
                <w:rFonts w:hint="eastAsia"/>
                <w:b/>
                <w:bCs/>
              </w:rPr>
              <w:t>孢</w:t>
            </w:r>
            <w:proofErr w:type="gramEnd"/>
            <w:r w:rsidRPr="001F4BC3">
              <w:rPr>
                <w:rFonts w:hint="eastAsia"/>
                <w:b/>
                <w:bCs/>
              </w:rPr>
              <w:t>提取车间</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朱洪生</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18903910620</w:t>
            </w: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200</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生产过程中废弃的离子交换树脂</w:t>
            </w:r>
          </w:p>
        </w:tc>
        <w:tc>
          <w:tcPr>
            <w:tcW w:w="115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一部分：委托有资质的第三方</w:t>
            </w:r>
            <w:r w:rsidRPr="001F4BC3">
              <w:rPr>
                <w:rFonts w:hint="eastAsia"/>
                <w:b/>
                <w:bCs/>
              </w:rPr>
              <w:br/>
            </w:r>
            <w:r w:rsidRPr="001F4BC3">
              <w:rPr>
                <w:rFonts w:hint="eastAsia"/>
                <w:b/>
                <w:bCs/>
              </w:rPr>
              <w:t>一部分：依据环评批复要求配煤燃烧。</w:t>
            </w: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优化生产工艺减少废树脂的产生量。</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1.</w:t>
            </w:r>
            <w:r w:rsidRPr="001F4BC3">
              <w:rPr>
                <w:rFonts w:hint="eastAsia"/>
                <w:b/>
                <w:bCs/>
              </w:rPr>
              <w:t>在危险废物集中送往有资质的第三方处置前，将分类暂存在危险废物暂存库中；</w:t>
            </w:r>
            <w:r w:rsidRPr="001F4BC3">
              <w:rPr>
                <w:rFonts w:hint="eastAsia"/>
                <w:b/>
                <w:bCs/>
              </w:rPr>
              <w:br/>
              <w:t>2.</w:t>
            </w:r>
            <w:r w:rsidRPr="001F4BC3">
              <w:rPr>
                <w:rFonts w:hint="eastAsia"/>
                <w:b/>
                <w:bCs/>
              </w:rPr>
              <w:t>厂内建有规范的危险废物贮存专库由双人双</w:t>
            </w:r>
            <w:proofErr w:type="gramStart"/>
            <w:r w:rsidRPr="001F4BC3">
              <w:rPr>
                <w:rFonts w:hint="eastAsia"/>
                <w:b/>
                <w:bCs/>
              </w:rPr>
              <w:t>锁进行</w:t>
            </w:r>
            <w:proofErr w:type="gramEnd"/>
            <w:r w:rsidRPr="001F4BC3">
              <w:rPr>
                <w:rFonts w:hint="eastAsia"/>
                <w:b/>
                <w:bCs/>
              </w:rPr>
              <w:t>管理；</w:t>
            </w:r>
            <w:r w:rsidRPr="001F4BC3">
              <w:rPr>
                <w:rFonts w:hint="eastAsia"/>
                <w:b/>
                <w:bCs/>
              </w:rPr>
              <w:br/>
              <w:t>3.</w:t>
            </w:r>
            <w:r w:rsidRPr="001F4BC3">
              <w:rPr>
                <w:rFonts w:hint="eastAsia"/>
                <w:b/>
                <w:bCs/>
              </w:rPr>
              <w:t>编制有《危险废</w:t>
            </w:r>
            <w:r w:rsidRPr="001F4BC3">
              <w:rPr>
                <w:rFonts w:hint="eastAsia"/>
                <w:b/>
                <w:bCs/>
              </w:rPr>
              <w:lastRenderedPageBreak/>
              <w:t>物突发环境事件专项应急预案》，并定期组织突发环境事件应急演练；</w:t>
            </w:r>
            <w:r w:rsidRPr="001F4BC3">
              <w:rPr>
                <w:rFonts w:hint="eastAsia"/>
                <w:b/>
                <w:bCs/>
              </w:rPr>
              <w:br/>
              <w:t>4.</w:t>
            </w:r>
            <w:r w:rsidRPr="001F4BC3">
              <w:rPr>
                <w:rFonts w:hint="eastAsia"/>
                <w:b/>
                <w:bCs/>
              </w:rPr>
              <w:t>至少每年一次对危险废物管理人员和从事危险废物收集、运输、贮存、利用和处置等工作的人员进行相关知识培训。</w:t>
            </w: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0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2</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废涂料容器</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900-252-12</w:t>
            </w:r>
          </w:p>
        </w:tc>
        <w:tc>
          <w:tcPr>
            <w:tcW w:w="1275"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HW12 </w:t>
            </w:r>
            <w:r w:rsidRPr="001F4BC3">
              <w:rPr>
                <w:rFonts w:hint="eastAsia"/>
                <w:b/>
                <w:bCs/>
              </w:rPr>
              <w:t>染料、涂料废物</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各生产车间及物流部</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proofErr w:type="gramStart"/>
            <w:r w:rsidRPr="001F4BC3">
              <w:rPr>
                <w:rFonts w:hint="eastAsia"/>
                <w:b/>
                <w:bCs/>
              </w:rPr>
              <w:t>边文志</w:t>
            </w:r>
            <w:proofErr w:type="gramEnd"/>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br/>
              <w:t>18299974040</w:t>
            </w: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2</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使用涂料进行刷涂料过程中产生的废涂料容器</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委托有资质的第三方</w:t>
            </w: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日常加强栏杆、墙面、地面等部位的维护保养，减少涂料的喷刷次数及废涂料容器产生量。</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81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lastRenderedPageBreak/>
              <w:t>3</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废电池</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900-052-31</w:t>
            </w:r>
          </w:p>
        </w:tc>
        <w:tc>
          <w:tcPr>
            <w:tcW w:w="1275"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HW31 </w:t>
            </w:r>
            <w:r w:rsidRPr="001F4BC3">
              <w:rPr>
                <w:rFonts w:hint="eastAsia"/>
                <w:b/>
                <w:bCs/>
              </w:rPr>
              <w:t>含铅废物</w:t>
            </w:r>
          </w:p>
        </w:tc>
        <w:tc>
          <w:tcPr>
            <w:tcW w:w="1134"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7</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各部门</w:t>
            </w:r>
            <w:r w:rsidRPr="001F4BC3">
              <w:rPr>
                <w:rFonts w:hint="eastAsia"/>
                <w:b/>
                <w:bCs/>
              </w:rPr>
              <w:t>/</w:t>
            </w:r>
            <w:r w:rsidRPr="001F4BC3">
              <w:rPr>
                <w:rFonts w:hint="eastAsia"/>
                <w:b/>
                <w:bCs/>
              </w:rPr>
              <w:t>车间使用电池后产生的废电池</w:t>
            </w: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注意电池保养，延长电池使用寿命，减少废电池产生量。</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2839"/>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4</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废润滑油</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900-249-08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HW08 </w:t>
            </w:r>
            <w:r w:rsidRPr="001F4BC3">
              <w:rPr>
                <w:rFonts w:hint="eastAsia"/>
                <w:b/>
                <w:bCs/>
              </w:rPr>
              <w:t>废矿物油与含矿物油废物</w:t>
            </w:r>
          </w:p>
        </w:tc>
        <w:tc>
          <w:tcPr>
            <w:tcW w:w="1134"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70</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动力车间、空压车间等各种机械润滑、维修更换下来的废润滑油</w:t>
            </w: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val="restart"/>
            <w:tcBorders>
              <w:top w:val="nil"/>
              <w:left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加强设备日常巡检工作力度，做好定期维护、保养工作，及时更换易损及老化部件，发现油质指标异常时立即处理，杜绝因监督不到位造成的油质劣化，在源头上减少废润滑油产生量；购买高品质润滑</w:t>
            </w:r>
            <w:r w:rsidRPr="001F4BC3">
              <w:rPr>
                <w:rFonts w:hint="eastAsia"/>
                <w:b/>
                <w:bCs/>
              </w:rPr>
              <w:lastRenderedPageBreak/>
              <w:t>油，按照高质低用原则，增加润滑油在不同转机设备上的内部循环套用。</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81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5</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废润滑油桶</w:t>
            </w:r>
          </w:p>
        </w:tc>
        <w:tc>
          <w:tcPr>
            <w:tcW w:w="141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3</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使用过程中产</w:t>
            </w:r>
            <w:r w:rsidRPr="001F4BC3">
              <w:rPr>
                <w:rFonts w:hint="eastAsia"/>
                <w:b/>
                <w:bCs/>
              </w:rPr>
              <w:lastRenderedPageBreak/>
              <w:t>生的废矿</w:t>
            </w:r>
            <w:r w:rsidRPr="001F4BC3">
              <w:rPr>
                <w:rFonts w:hint="eastAsia"/>
                <w:b/>
                <w:bCs/>
              </w:rPr>
              <w:br/>
            </w:r>
            <w:proofErr w:type="gramStart"/>
            <w:r w:rsidRPr="001F4BC3">
              <w:rPr>
                <w:rFonts w:hint="eastAsia"/>
                <w:b/>
                <w:bCs/>
              </w:rPr>
              <w:t>物油及</w:t>
            </w:r>
            <w:proofErr w:type="gramEnd"/>
            <w:r w:rsidRPr="001F4BC3">
              <w:rPr>
                <w:rFonts w:hint="eastAsia"/>
                <w:b/>
                <w:bCs/>
              </w:rPr>
              <w:t>沾染矿物油的废弃包装物</w:t>
            </w: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tcBorders>
              <w:left w:val="single" w:sz="4" w:space="0" w:color="auto"/>
              <w:right w:val="single" w:sz="4" w:space="0" w:color="auto"/>
            </w:tcBorders>
            <w:vAlign w:val="center"/>
            <w:hideMark/>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810"/>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BC3" w:rsidRPr="001F4BC3" w:rsidRDefault="001F4BC3" w:rsidP="001F4BC3">
            <w:pPr>
              <w:jc w:val="center"/>
              <w:rPr>
                <w:b/>
                <w:bCs/>
              </w:rPr>
            </w:pPr>
            <w:r w:rsidRPr="001F4BC3">
              <w:rPr>
                <w:rFonts w:hint="eastAsia"/>
                <w:b/>
                <w:bCs/>
              </w:rPr>
              <w:t>6</w:t>
            </w:r>
          </w:p>
        </w:tc>
        <w:tc>
          <w:tcPr>
            <w:tcW w:w="1179" w:type="dxa"/>
            <w:tcBorders>
              <w:top w:val="nil"/>
              <w:left w:val="nil"/>
              <w:bottom w:val="single" w:sz="4" w:space="0" w:color="auto"/>
              <w:right w:val="single" w:sz="4" w:space="0" w:color="auto"/>
            </w:tcBorders>
            <w:shd w:val="clear" w:color="auto" w:fill="auto"/>
            <w:noWrap/>
            <w:vAlign w:val="center"/>
          </w:tcPr>
          <w:p w:rsidR="001F4BC3" w:rsidRPr="001F4BC3" w:rsidRDefault="001F4BC3" w:rsidP="001F4BC3">
            <w:pPr>
              <w:jc w:val="center"/>
              <w:rPr>
                <w:b/>
                <w:bCs/>
              </w:rPr>
            </w:pPr>
            <w:proofErr w:type="gramStart"/>
            <w:r w:rsidRPr="001F4BC3">
              <w:rPr>
                <w:rFonts w:hint="eastAsia"/>
                <w:b/>
                <w:bCs/>
              </w:rPr>
              <w:t>废抗燃油</w:t>
            </w:r>
            <w:proofErr w:type="gramEnd"/>
          </w:p>
        </w:tc>
        <w:tc>
          <w:tcPr>
            <w:tcW w:w="1418"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b/>
                <w:bCs/>
              </w:rPr>
              <w:t>900-033-37</w:t>
            </w:r>
          </w:p>
        </w:tc>
        <w:tc>
          <w:tcPr>
            <w:tcW w:w="1275"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rFonts w:hint="eastAsia"/>
                <w:b/>
                <w:bCs/>
              </w:rPr>
              <w:t>H</w:t>
            </w:r>
            <w:r w:rsidRPr="001F4BC3">
              <w:rPr>
                <w:b/>
                <w:bCs/>
              </w:rPr>
              <w:t>W37</w:t>
            </w:r>
            <w:r w:rsidRPr="001F4BC3">
              <w:rPr>
                <w:rFonts w:hint="eastAsia"/>
                <w:b/>
                <w:bCs/>
              </w:rPr>
              <w:t>有机磷化合物废物</w:t>
            </w:r>
          </w:p>
        </w:tc>
        <w:tc>
          <w:tcPr>
            <w:tcW w:w="1134"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rFonts w:hint="eastAsia"/>
                <w:b/>
                <w:bCs/>
              </w:rPr>
              <w:t>热电事业部</w:t>
            </w:r>
          </w:p>
        </w:tc>
        <w:tc>
          <w:tcPr>
            <w:tcW w:w="851"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rFonts w:hint="eastAsia"/>
                <w:b/>
                <w:bCs/>
              </w:rPr>
              <w:t>李林</w:t>
            </w:r>
          </w:p>
        </w:tc>
        <w:tc>
          <w:tcPr>
            <w:tcW w:w="1978"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b/>
                <w:bCs/>
              </w:rPr>
              <w:t>18699925129</w:t>
            </w:r>
          </w:p>
        </w:tc>
        <w:tc>
          <w:tcPr>
            <w:tcW w:w="904" w:type="dxa"/>
            <w:tcBorders>
              <w:top w:val="single" w:sz="4" w:space="0" w:color="auto"/>
              <w:left w:val="nil"/>
              <w:bottom w:val="single" w:sz="4" w:space="0" w:color="auto"/>
              <w:right w:val="single" w:sz="4" w:space="0" w:color="auto"/>
            </w:tcBorders>
            <w:shd w:val="clear" w:color="auto" w:fill="auto"/>
            <w:vAlign w:val="center"/>
          </w:tcPr>
          <w:p w:rsidR="001F4BC3" w:rsidRPr="001F4BC3" w:rsidRDefault="001F4BC3" w:rsidP="001F4BC3">
            <w:pPr>
              <w:jc w:val="center"/>
              <w:rPr>
                <w:b/>
                <w:bCs/>
              </w:rPr>
            </w:pPr>
            <w:r w:rsidRPr="001F4BC3">
              <w:rPr>
                <w:rFonts w:hint="eastAsia"/>
                <w:b/>
                <w:bCs/>
              </w:rPr>
              <w:t>0</w:t>
            </w:r>
          </w:p>
        </w:tc>
        <w:tc>
          <w:tcPr>
            <w:tcW w:w="790" w:type="dxa"/>
            <w:tcBorders>
              <w:top w:val="single" w:sz="4" w:space="0" w:color="auto"/>
              <w:left w:val="nil"/>
              <w:bottom w:val="single" w:sz="4" w:space="0" w:color="auto"/>
              <w:right w:val="single" w:sz="4" w:space="0" w:color="auto"/>
            </w:tcBorders>
            <w:shd w:val="clear" w:color="auto" w:fill="auto"/>
            <w:vAlign w:val="center"/>
          </w:tcPr>
          <w:p w:rsidR="001F4BC3" w:rsidRPr="001F4BC3" w:rsidRDefault="001F4BC3" w:rsidP="001F4BC3">
            <w:pPr>
              <w:jc w:val="center"/>
              <w:rPr>
                <w:b/>
                <w:bCs/>
              </w:rPr>
            </w:pPr>
            <w:r w:rsidRPr="001F4BC3">
              <w:rPr>
                <w:rFonts w:hint="eastAsia"/>
                <w:b/>
                <w:bCs/>
              </w:rPr>
              <w:t>热电事业部汽轮机控制系统</w:t>
            </w:r>
          </w:p>
        </w:tc>
        <w:tc>
          <w:tcPr>
            <w:tcW w:w="1158" w:type="dxa"/>
            <w:vMerge/>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1287" w:type="dxa"/>
            <w:vMerge/>
            <w:tcBorders>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tcPr>
          <w:p w:rsidR="001F4BC3" w:rsidRPr="001F4BC3" w:rsidRDefault="001F4BC3" w:rsidP="001F4BC3">
            <w:pPr>
              <w:jc w:val="center"/>
              <w:rPr>
                <w:b/>
                <w:bCs/>
              </w:rPr>
            </w:pPr>
          </w:p>
        </w:tc>
      </w:tr>
      <w:tr w:rsidR="001F4BC3" w:rsidRPr="001F4BC3" w:rsidTr="007817FF">
        <w:trPr>
          <w:trHeight w:val="1080"/>
        </w:trPr>
        <w:tc>
          <w:tcPr>
            <w:tcW w:w="659" w:type="dxa"/>
            <w:tcBorders>
              <w:top w:val="single" w:sz="4" w:space="0" w:color="auto"/>
              <w:left w:val="single" w:sz="4" w:space="0" w:color="auto"/>
              <w:bottom w:val="nil"/>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7</w:t>
            </w:r>
          </w:p>
        </w:tc>
        <w:tc>
          <w:tcPr>
            <w:tcW w:w="1179" w:type="dxa"/>
            <w:tcBorders>
              <w:top w:val="nil"/>
              <w:left w:val="nil"/>
              <w:bottom w:val="nil"/>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废滤芯</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900-041-49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HW49 </w:t>
            </w:r>
            <w:r w:rsidRPr="001F4BC3">
              <w:rPr>
                <w:rFonts w:hint="eastAsia"/>
                <w:b/>
                <w:bCs/>
              </w:rPr>
              <w:t>其他废物</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头</w:t>
            </w:r>
            <w:proofErr w:type="gramStart"/>
            <w:r w:rsidRPr="001F4BC3">
              <w:rPr>
                <w:rFonts w:hint="eastAsia"/>
                <w:b/>
                <w:bCs/>
              </w:rPr>
              <w:t>孢</w:t>
            </w:r>
            <w:proofErr w:type="gramEnd"/>
            <w:r w:rsidRPr="001F4BC3">
              <w:rPr>
                <w:rFonts w:hint="eastAsia"/>
                <w:b/>
                <w:bCs/>
              </w:rPr>
              <w:t>提取车间、青霉素提取车间、</w:t>
            </w:r>
            <w:proofErr w:type="gramStart"/>
            <w:r w:rsidRPr="001F4BC3">
              <w:rPr>
                <w:rFonts w:hint="eastAsia"/>
                <w:b/>
                <w:bCs/>
              </w:rPr>
              <w:t>硫红提取</w:t>
            </w:r>
            <w:proofErr w:type="gramEnd"/>
            <w:r w:rsidRPr="001F4BC3">
              <w:rPr>
                <w:rFonts w:hint="eastAsia"/>
                <w:b/>
                <w:bCs/>
              </w:rPr>
              <w:t>车间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朱洪生</w:t>
            </w:r>
            <w:r w:rsidRPr="001F4BC3">
              <w:rPr>
                <w:rFonts w:hint="eastAsia"/>
                <w:b/>
                <w:bCs/>
              </w:rPr>
              <w:br/>
            </w:r>
            <w:r w:rsidRPr="001F4BC3">
              <w:rPr>
                <w:rFonts w:hint="eastAsia"/>
                <w:b/>
                <w:bCs/>
              </w:rPr>
              <w:t>罗正明</w:t>
            </w:r>
            <w:r w:rsidRPr="001F4BC3">
              <w:rPr>
                <w:rFonts w:hint="eastAsia"/>
                <w:b/>
                <w:bCs/>
              </w:rPr>
              <w:br/>
            </w:r>
            <w:r w:rsidRPr="001F4BC3">
              <w:rPr>
                <w:rFonts w:hint="eastAsia"/>
                <w:b/>
                <w:bCs/>
              </w:rPr>
              <w:t>肖</w:t>
            </w:r>
            <w:proofErr w:type="gramStart"/>
            <w:r w:rsidRPr="001F4BC3">
              <w:rPr>
                <w:rFonts w:hint="eastAsia"/>
                <w:b/>
                <w:bCs/>
              </w:rPr>
              <w:t>荣泽</w:t>
            </w:r>
            <w:proofErr w:type="gramEnd"/>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18903910620</w:t>
            </w:r>
            <w:r w:rsidRPr="001F4BC3">
              <w:rPr>
                <w:rFonts w:hint="eastAsia"/>
                <w:b/>
                <w:bCs/>
              </w:rPr>
              <w:br/>
              <w:t>15214889675</w:t>
            </w:r>
            <w:r w:rsidRPr="001F4BC3">
              <w:rPr>
                <w:rFonts w:hint="eastAsia"/>
                <w:b/>
                <w:bCs/>
              </w:rPr>
              <w:br/>
              <w:t>18699908389</w:t>
            </w:r>
          </w:p>
        </w:tc>
        <w:tc>
          <w:tcPr>
            <w:tcW w:w="904" w:type="dxa"/>
            <w:tcBorders>
              <w:top w:val="single" w:sz="4" w:space="0" w:color="auto"/>
              <w:left w:val="nil"/>
              <w:bottom w:val="nil"/>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120</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含有或沾染毒性、感染性危险废物的废弃包装物、</w:t>
            </w:r>
            <w:r w:rsidRPr="001F4BC3">
              <w:rPr>
                <w:rFonts w:hint="eastAsia"/>
                <w:b/>
                <w:bCs/>
              </w:rPr>
              <w:lastRenderedPageBreak/>
              <w:t>容器、过滤吸附介质</w:t>
            </w: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优化生产工艺，改善运行管理，从源头上控制和降低过滤过程单位产品的使用。</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080"/>
        </w:trPr>
        <w:tc>
          <w:tcPr>
            <w:tcW w:w="659" w:type="dxa"/>
            <w:tcBorders>
              <w:top w:val="single" w:sz="4" w:space="0" w:color="auto"/>
              <w:left w:val="single" w:sz="4" w:space="0" w:color="auto"/>
              <w:bottom w:val="nil"/>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8</w:t>
            </w:r>
          </w:p>
        </w:tc>
        <w:tc>
          <w:tcPr>
            <w:tcW w:w="1179" w:type="dxa"/>
            <w:tcBorders>
              <w:top w:val="single" w:sz="4" w:space="0" w:color="auto"/>
              <w:left w:val="nil"/>
              <w:bottom w:val="nil"/>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废滤布</w:t>
            </w:r>
          </w:p>
        </w:tc>
        <w:tc>
          <w:tcPr>
            <w:tcW w:w="141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904" w:type="dxa"/>
            <w:tcBorders>
              <w:top w:val="single" w:sz="4" w:space="0" w:color="auto"/>
              <w:left w:val="nil"/>
              <w:bottom w:val="nil"/>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90</w:t>
            </w: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600"/>
        </w:trPr>
        <w:tc>
          <w:tcPr>
            <w:tcW w:w="6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实验室废液</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900-047-49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HW49 </w:t>
            </w:r>
            <w:r w:rsidRPr="001F4BC3">
              <w:rPr>
                <w:rFonts w:hint="eastAsia"/>
                <w:b/>
                <w:bCs/>
              </w:rPr>
              <w:t>其他废物</w:t>
            </w: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质量部</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于倩</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15729906505</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0.5</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生产、环境检测活动中，实验室产生的废液</w:t>
            </w: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优化实验操作规程，精准试剂用量，从源头上控制和降低试剂的使用，减少实验室废液的产生。</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single" w:sz="4" w:space="0" w:color="auto"/>
            </w:tcBorders>
            <w:shd w:val="clear" w:color="auto" w:fill="auto"/>
            <w:vAlign w:val="center"/>
            <w:hideMark/>
          </w:tcPr>
          <w:p w:rsidR="001F4BC3" w:rsidRPr="001F4BC3" w:rsidRDefault="001F4BC3" w:rsidP="001F4BC3">
            <w:pPr>
              <w:jc w:val="center"/>
            </w:pPr>
          </w:p>
        </w:tc>
      </w:tr>
      <w:tr w:rsidR="001F4BC3" w:rsidRPr="001F4BC3" w:rsidTr="007817FF">
        <w:trPr>
          <w:trHeight w:val="499"/>
        </w:trPr>
        <w:tc>
          <w:tcPr>
            <w:tcW w:w="659" w:type="dxa"/>
            <w:vMerge/>
            <w:tcBorders>
              <w:top w:val="single" w:sz="4" w:space="0" w:color="auto"/>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41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生化处理车间</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马江川</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13779566778</w:t>
            </w:r>
          </w:p>
        </w:tc>
        <w:tc>
          <w:tcPr>
            <w:tcW w:w="904" w:type="dxa"/>
            <w:vMerge/>
            <w:tcBorders>
              <w:top w:val="single" w:sz="4" w:space="0" w:color="auto"/>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790"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5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87"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vAlign w:val="center"/>
            <w:hideMark/>
          </w:tcPr>
          <w:p w:rsidR="001F4BC3" w:rsidRPr="001F4BC3" w:rsidRDefault="001F4BC3" w:rsidP="001F4BC3">
            <w:pPr>
              <w:jc w:val="center"/>
              <w:rPr>
                <w:b/>
                <w:bCs/>
              </w:rPr>
            </w:pPr>
          </w:p>
        </w:tc>
      </w:tr>
      <w:tr w:rsidR="001F4BC3" w:rsidRPr="001F4BC3" w:rsidTr="007817FF">
        <w:trPr>
          <w:trHeight w:val="600"/>
        </w:trPr>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10</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废活性炭</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276-004-02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HW02 </w:t>
            </w:r>
            <w:r w:rsidRPr="001F4BC3">
              <w:rPr>
                <w:rFonts w:hint="eastAsia"/>
                <w:b/>
                <w:bCs/>
              </w:rPr>
              <w:t>医药废物</w:t>
            </w: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头</w:t>
            </w:r>
            <w:proofErr w:type="gramStart"/>
            <w:r w:rsidRPr="001F4BC3">
              <w:rPr>
                <w:rFonts w:hint="eastAsia"/>
                <w:b/>
                <w:bCs/>
              </w:rPr>
              <w:t>孢</w:t>
            </w:r>
            <w:proofErr w:type="gramEnd"/>
            <w:r w:rsidRPr="001F4BC3">
              <w:rPr>
                <w:rFonts w:hint="eastAsia"/>
                <w:b/>
                <w:bCs/>
              </w:rPr>
              <w:t>提取车间</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朱洪生</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18903910620</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1000</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生产过程中废弃的吸附剂</w:t>
            </w:r>
          </w:p>
        </w:tc>
        <w:tc>
          <w:tcPr>
            <w:tcW w:w="1158" w:type="dxa"/>
            <w:vMerge w:val="restart"/>
            <w:tcBorders>
              <w:top w:val="nil"/>
              <w:left w:val="single" w:sz="4" w:space="0" w:color="auto"/>
              <w:bottom w:val="nil"/>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依据环评批复要求进行自行处置。</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工艺优化及解析，减少废活性炭产生量，产生的废活性炭送至动力车间配煤燃烧。</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420"/>
        </w:trPr>
        <w:tc>
          <w:tcPr>
            <w:tcW w:w="659"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79"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41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青霉素提取车间</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罗正明</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15214889675</w:t>
            </w:r>
          </w:p>
        </w:tc>
        <w:tc>
          <w:tcPr>
            <w:tcW w:w="904"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790"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58" w:type="dxa"/>
            <w:vMerge/>
            <w:tcBorders>
              <w:top w:val="nil"/>
              <w:left w:val="single" w:sz="4" w:space="0" w:color="auto"/>
              <w:bottom w:val="nil"/>
              <w:right w:val="single" w:sz="4" w:space="0" w:color="auto"/>
            </w:tcBorders>
            <w:vAlign w:val="center"/>
            <w:hideMark/>
          </w:tcPr>
          <w:p w:rsidR="001F4BC3" w:rsidRPr="001F4BC3" w:rsidRDefault="001F4BC3" w:rsidP="001F4BC3">
            <w:pPr>
              <w:jc w:val="center"/>
              <w:rPr>
                <w:b/>
                <w:bCs/>
              </w:rPr>
            </w:pPr>
          </w:p>
        </w:tc>
        <w:tc>
          <w:tcPr>
            <w:tcW w:w="1287"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579"/>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lastRenderedPageBreak/>
              <w:t>11</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废活性炭包装袋</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900-041-49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HW49 </w:t>
            </w:r>
            <w:r w:rsidRPr="001F4BC3">
              <w:rPr>
                <w:rFonts w:hint="eastAsia"/>
                <w:b/>
                <w:bCs/>
              </w:rPr>
              <w:t>其他废物</w:t>
            </w:r>
          </w:p>
        </w:tc>
        <w:tc>
          <w:tcPr>
            <w:tcW w:w="1134" w:type="dxa"/>
            <w:vMerge w:val="restart"/>
            <w:tcBorders>
              <w:top w:val="nil"/>
              <w:left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尾气净化车间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张梁彬</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18699924660</w:t>
            </w: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1.5</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盛装利用生物技术生产生物化学药品过程中产生的废吸附剂的废包装袋</w:t>
            </w:r>
          </w:p>
        </w:tc>
        <w:tc>
          <w:tcPr>
            <w:tcW w:w="1158" w:type="dxa"/>
            <w:vMerge/>
            <w:tcBorders>
              <w:top w:val="nil"/>
              <w:left w:val="single" w:sz="4" w:space="0" w:color="auto"/>
              <w:bottom w:val="nil"/>
              <w:right w:val="single" w:sz="4" w:space="0" w:color="auto"/>
            </w:tcBorders>
            <w:vAlign w:val="center"/>
            <w:hideMark/>
          </w:tcPr>
          <w:p w:rsidR="001F4BC3" w:rsidRPr="001F4BC3" w:rsidRDefault="001F4BC3" w:rsidP="001F4BC3">
            <w:pPr>
              <w:jc w:val="center"/>
              <w:rPr>
                <w:b/>
                <w:bCs/>
              </w:rPr>
            </w:pP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废活性炭转移过程中不拖拽，减少包装袋磨损，延长使用，减少废包装袋产生量；产生的废包装袋送至动力车间焚烧。</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1242"/>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12</w:t>
            </w:r>
          </w:p>
        </w:tc>
        <w:tc>
          <w:tcPr>
            <w:tcW w:w="1179"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废活性炭（颗粒）</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900-039-49</w:t>
            </w: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vMerge/>
            <w:tcBorders>
              <w:left w:val="single" w:sz="4" w:space="0" w:color="auto"/>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3000</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VOCs </w:t>
            </w:r>
            <w:r w:rsidRPr="001F4BC3">
              <w:rPr>
                <w:rFonts w:hint="eastAsia"/>
                <w:b/>
                <w:bCs/>
              </w:rPr>
              <w:t>治理过程中产生的废活性炭</w:t>
            </w:r>
          </w:p>
        </w:tc>
        <w:tc>
          <w:tcPr>
            <w:tcW w:w="1158" w:type="dxa"/>
            <w:vMerge/>
            <w:tcBorders>
              <w:top w:val="nil"/>
              <w:left w:val="single" w:sz="4" w:space="0" w:color="auto"/>
              <w:bottom w:val="nil"/>
              <w:right w:val="single" w:sz="4" w:space="0" w:color="auto"/>
            </w:tcBorders>
            <w:vAlign w:val="center"/>
            <w:hideMark/>
          </w:tcPr>
          <w:p w:rsidR="001F4BC3" w:rsidRPr="001F4BC3" w:rsidRDefault="001F4BC3" w:rsidP="001F4BC3">
            <w:pPr>
              <w:jc w:val="center"/>
              <w:rPr>
                <w:b/>
                <w:bCs/>
              </w:rPr>
            </w:pP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颗粒废活性炭经活性炭再生装置活化再生经检测满足其产品质量标准后，进行资源再利用，回用于工业有机废气治</w:t>
            </w:r>
            <w:r w:rsidRPr="001F4BC3">
              <w:rPr>
                <w:rFonts w:hint="eastAsia"/>
                <w:b/>
                <w:bCs/>
              </w:rPr>
              <w:lastRenderedPageBreak/>
              <w:t>理。</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13</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proofErr w:type="gramStart"/>
            <w:r w:rsidRPr="001F4BC3">
              <w:rPr>
                <w:rFonts w:hint="eastAsia"/>
                <w:b/>
                <w:bCs/>
              </w:rPr>
              <w:t>炭</w:t>
            </w:r>
            <w:proofErr w:type="gramEnd"/>
            <w:r w:rsidRPr="001F4BC3">
              <w:rPr>
                <w:rFonts w:hint="eastAsia"/>
                <w:b/>
                <w:bCs/>
              </w:rPr>
              <w:t>粉尘</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900-039-49</w:t>
            </w:r>
          </w:p>
        </w:tc>
        <w:tc>
          <w:tcPr>
            <w:tcW w:w="1275"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1134" w:type="dxa"/>
            <w:vMerge/>
            <w:tcBorders>
              <w:left w:val="single" w:sz="4" w:space="0" w:color="auto"/>
              <w:right w:val="single" w:sz="4" w:space="0" w:color="auto"/>
            </w:tcBorders>
            <w:vAlign w:val="center"/>
            <w:hideMark/>
          </w:tcPr>
          <w:p w:rsidR="001F4BC3" w:rsidRPr="001F4BC3" w:rsidRDefault="001F4BC3" w:rsidP="001F4BC3">
            <w:pPr>
              <w:jc w:val="center"/>
              <w:rPr>
                <w:b/>
                <w:bCs/>
              </w:rPr>
            </w:pPr>
          </w:p>
        </w:tc>
        <w:tc>
          <w:tcPr>
            <w:tcW w:w="851" w:type="dxa"/>
            <w:vMerge/>
            <w:tcBorders>
              <w:top w:val="nil"/>
              <w:left w:val="single" w:sz="4" w:space="0" w:color="auto"/>
              <w:right w:val="single" w:sz="4" w:space="0" w:color="auto"/>
            </w:tcBorders>
            <w:vAlign w:val="center"/>
            <w:hideMark/>
          </w:tcPr>
          <w:p w:rsidR="001F4BC3" w:rsidRPr="001F4BC3" w:rsidRDefault="001F4BC3" w:rsidP="001F4BC3">
            <w:pPr>
              <w:jc w:val="center"/>
              <w:rPr>
                <w:b/>
                <w:bCs/>
              </w:rPr>
            </w:pPr>
          </w:p>
        </w:tc>
        <w:tc>
          <w:tcPr>
            <w:tcW w:w="1978" w:type="dxa"/>
            <w:vMerge/>
            <w:tcBorders>
              <w:top w:val="nil"/>
              <w:left w:val="single" w:sz="4" w:space="0" w:color="auto"/>
              <w:right w:val="single" w:sz="4" w:space="0" w:color="auto"/>
            </w:tcBorders>
            <w:vAlign w:val="center"/>
            <w:hideMark/>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4</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活性炭再生过程中粉尘器收集的碳粉尘</w:t>
            </w:r>
          </w:p>
        </w:tc>
        <w:tc>
          <w:tcPr>
            <w:tcW w:w="1158" w:type="dxa"/>
            <w:vMerge/>
            <w:tcBorders>
              <w:top w:val="nil"/>
              <w:left w:val="single" w:sz="4" w:space="0" w:color="auto"/>
              <w:bottom w:val="nil"/>
              <w:right w:val="single" w:sz="4" w:space="0" w:color="auto"/>
            </w:tcBorders>
            <w:vAlign w:val="center"/>
            <w:hideMark/>
          </w:tcPr>
          <w:p w:rsidR="001F4BC3" w:rsidRPr="001F4BC3" w:rsidRDefault="001F4BC3" w:rsidP="001F4BC3">
            <w:pPr>
              <w:jc w:val="center"/>
              <w:rPr>
                <w:b/>
                <w:bCs/>
              </w:rPr>
            </w:pPr>
          </w:p>
        </w:tc>
        <w:tc>
          <w:tcPr>
            <w:tcW w:w="1287" w:type="dxa"/>
            <w:vMerge w:val="restart"/>
            <w:tcBorders>
              <w:top w:val="nil"/>
              <w:left w:val="nil"/>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工艺优化。</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r w:rsidR="001F4BC3" w:rsidRPr="001F4BC3" w:rsidTr="007817FF">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tcPr>
          <w:p w:rsidR="001F4BC3" w:rsidRPr="001F4BC3" w:rsidRDefault="001F4BC3" w:rsidP="001F4BC3">
            <w:pPr>
              <w:jc w:val="center"/>
              <w:rPr>
                <w:b/>
                <w:bCs/>
              </w:rPr>
            </w:pPr>
            <w:r w:rsidRPr="001F4BC3">
              <w:rPr>
                <w:rFonts w:hint="eastAsia"/>
                <w:b/>
                <w:bCs/>
              </w:rPr>
              <w:t>14</w:t>
            </w:r>
          </w:p>
        </w:tc>
        <w:tc>
          <w:tcPr>
            <w:tcW w:w="1179" w:type="dxa"/>
            <w:tcBorders>
              <w:top w:val="nil"/>
              <w:left w:val="nil"/>
              <w:bottom w:val="single" w:sz="4" w:space="0" w:color="auto"/>
              <w:right w:val="single" w:sz="4" w:space="0" w:color="auto"/>
            </w:tcBorders>
            <w:shd w:val="clear" w:color="auto" w:fill="auto"/>
            <w:noWrap/>
            <w:vAlign w:val="center"/>
          </w:tcPr>
          <w:p w:rsidR="001F4BC3" w:rsidRPr="001F4BC3" w:rsidRDefault="001F4BC3" w:rsidP="001F4BC3">
            <w:pPr>
              <w:jc w:val="center"/>
              <w:rPr>
                <w:b/>
                <w:bCs/>
              </w:rPr>
            </w:pPr>
            <w:r w:rsidRPr="001F4BC3">
              <w:rPr>
                <w:rFonts w:hint="eastAsia"/>
                <w:b/>
                <w:bCs/>
              </w:rPr>
              <w:t>废耐火材料及废渣</w:t>
            </w:r>
          </w:p>
        </w:tc>
        <w:tc>
          <w:tcPr>
            <w:tcW w:w="1418" w:type="dxa"/>
            <w:tcBorders>
              <w:top w:val="nil"/>
              <w:left w:val="nil"/>
              <w:bottom w:val="single" w:sz="4" w:space="0" w:color="auto"/>
              <w:right w:val="single" w:sz="4" w:space="0" w:color="auto"/>
            </w:tcBorders>
            <w:shd w:val="clear" w:color="auto" w:fill="auto"/>
            <w:noWrap/>
            <w:vAlign w:val="center"/>
          </w:tcPr>
          <w:p w:rsidR="001F4BC3" w:rsidRPr="001F4BC3" w:rsidRDefault="001F4BC3" w:rsidP="001F4BC3">
            <w:pPr>
              <w:jc w:val="center"/>
              <w:rPr>
                <w:b/>
                <w:bCs/>
              </w:rPr>
            </w:pPr>
            <w:r w:rsidRPr="001F4BC3">
              <w:rPr>
                <w:b/>
                <w:bCs/>
              </w:rPr>
              <w:t>772-033-18</w:t>
            </w:r>
          </w:p>
        </w:tc>
        <w:tc>
          <w:tcPr>
            <w:tcW w:w="1275"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r w:rsidRPr="001F4BC3">
              <w:rPr>
                <w:rFonts w:hint="eastAsia"/>
                <w:b/>
                <w:bCs/>
              </w:rPr>
              <w:t>H</w:t>
            </w:r>
            <w:r w:rsidRPr="001F4BC3">
              <w:rPr>
                <w:b/>
                <w:bCs/>
              </w:rPr>
              <w:t>W18</w:t>
            </w:r>
            <w:r w:rsidRPr="001F4BC3">
              <w:rPr>
                <w:rFonts w:hint="eastAsia"/>
                <w:b/>
                <w:bCs/>
              </w:rPr>
              <w:t>焚烧处置残渣</w:t>
            </w:r>
          </w:p>
        </w:tc>
        <w:tc>
          <w:tcPr>
            <w:tcW w:w="1134" w:type="dxa"/>
            <w:vMerge/>
            <w:tcBorders>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851"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1978" w:type="dxa"/>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904" w:type="dxa"/>
            <w:tcBorders>
              <w:top w:val="nil"/>
              <w:left w:val="nil"/>
              <w:bottom w:val="single" w:sz="4" w:space="0" w:color="auto"/>
              <w:right w:val="single" w:sz="4" w:space="0" w:color="auto"/>
            </w:tcBorders>
            <w:shd w:val="clear" w:color="auto" w:fill="auto"/>
            <w:vAlign w:val="center"/>
          </w:tcPr>
          <w:p w:rsidR="001F4BC3" w:rsidRPr="001F4BC3" w:rsidRDefault="001F4BC3" w:rsidP="001F4BC3">
            <w:pPr>
              <w:jc w:val="center"/>
              <w:rPr>
                <w:b/>
                <w:bCs/>
              </w:rPr>
            </w:pPr>
            <w:r w:rsidRPr="001F4BC3">
              <w:rPr>
                <w:rFonts w:hint="eastAsia"/>
                <w:b/>
                <w:bCs/>
              </w:rPr>
              <w:t>0</w:t>
            </w:r>
          </w:p>
        </w:tc>
        <w:tc>
          <w:tcPr>
            <w:tcW w:w="790" w:type="dxa"/>
            <w:tcBorders>
              <w:top w:val="nil"/>
              <w:left w:val="nil"/>
              <w:bottom w:val="single" w:sz="4" w:space="0" w:color="auto"/>
              <w:right w:val="single" w:sz="4" w:space="0" w:color="auto"/>
            </w:tcBorders>
            <w:shd w:val="clear" w:color="auto" w:fill="auto"/>
            <w:vAlign w:val="center"/>
          </w:tcPr>
          <w:p w:rsidR="001F4BC3" w:rsidRPr="001F4BC3" w:rsidRDefault="001F4BC3" w:rsidP="001F4BC3">
            <w:pPr>
              <w:jc w:val="center"/>
              <w:rPr>
                <w:b/>
                <w:bCs/>
              </w:rPr>
            </w:pPr>
            <w:r w:rsidRPr="001F4BC3">
              <w:rPr>
                <w:rFonts w:hint="eastAsia"/>
                <w:b/>
                <w:bCs/>
              </w:rPr>
              <w:t>活性炭再生工段</w:t>
            </w:r>
          </w:p>
        </w:tc>
        <w:tc>
          <w:tcPr>
            <w:tcW w:w="1158" w:type="dxa"/>
            <w:vMerge/>
            <w:tcBorders>
              <w:top w:val="nil"/>
              <w:left w:val="single" w:sz="4" w:space="0" w:color="auto"/>
              <w:bottom w:val="nil"/>
              <w:right w:val="single" w:sz="4" w:space="0" w:color="auto"/>
            </w:tcBorders>
            <w:vAlign w:val="center"/>
          </w:tcPr>
          <w:p w:rsidR="001F4BC3" w:rsidRPr="001F4BC3" w:rsidRDefault="001F4BC3" w:rsidP="001F4BC3">
            <w:pPr>
              <w:jc w:val="center"/>
              <w:rPr>
                <w:b/>
                <w:bCs/>
              </w:rPr>
            </w:pPr>
          </w:p>
        </w:tc>
        <w:tc>
          <w:tcPr>
            <w:tcW w:w="1287" w:type="dxa"/>
            <w:vMerge/>
            <w:tcBorders>
              <w:left w:val="nil"/>
              <w:bottom w:val="single" w:sz="4" w:space="0" w:color="auto"/>
              <w:right w:val="single" w:sz="4" w:space="0" w:color="auto"/>
            </w:tcBorders>
            <w:shd w:val="clear" w:color="auto" w:fill="auto"/>
            <w:vAlign w:val="center"/>
          </w:tcPr>
          <w:p w:rsidR="001F4BC3" w:rsidRPr="001F4BC3" w:rsidRDefault="001F4BC3" w:rsidP="001F4BC3">
            <w:pPr>
              <w:jc w:val="center"/>
              <w:rPr>
                <w:b/>
                <w:bCs/>
              </w:rPr>
            </w:pPr>
          </w:p>
        </w:tc>
        <w:tc>
          <w:tcPr>
            <w:tcW w:w="1098" w:type="dxa"/>
            <w:vMerge/>
            <w:tcBorders>
              <w:top w:val="nil"/>
              <w:left w:val="single" w:sz="4" w:space="0" w:color="auto"/>
              <w:bottom w:val="single" w:sz="4" w:space="0" w:color="000000"/>
              <w:right w:val="single" w:sz="4" w:space="0" w:color="auto"/>
            </w:tcBorders>
            <w:vAlign w:val="center"/>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tcPr>
          <w:p w:rsidR="001F4BC3" w:rsidRPr="001F4BC3" w:rsidRDefault="001F4BC3" w:rsidP="001F4BC3">
            <w:pPr>
              <w:jc w:val="center"/>
              <w:rPr>
                <w:b/>
                <w:bCs/>
              </w:rPr>
            </w:pPr>
          </w:p>
        </w:tc>
      </w:tr>
      <w:tr w:rsidR="001F4BC3" w:rsidRPr="001F4BC3" w:rsidTr="007817FF">
        <w:trPr>
          <w:trHeight w:val="354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lastRenderedPageBreak/>
              <w:t>15</w:t>
            </w:r>
          </w:p>
        </w:tc>
        <w:tc>
          <w:tcPr>
            <w:tcW w:w="1179"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菌丝渣</w:t>
            </w:r>
          </w:p>
        </w:tc>
        <w:tc>
          <w:tcPr>
            <w:tcW w:w="1418" w:type="dxa"/>
            <w:tcBorders>
              <w:top w:val="nil"/>
              <w:left w:val="nil"/>
              <w:bottom w:val="single" w:sz="4" w:space="0" w:color="auto"/>
              <w:right w:val="single" w:sz="4" w:space="0" w:color="auto"/>
            </w:tcBorders>
            <w:shd w:val="clear" w:color="auto" w:fill="auto"/>
            <w:noWrap/>
            <w:vAlign w:val="center"/>
            <w:hideMark/>
          </w:tcPr>
          <w:p w:rsidR="001F4BC3" w:rsidRPr="001F4BC3" w:rsidRDefault="001F4BC3" w:rsidP="001F4BC3">
            <w:pPr>
              <w:jc w:val="center"/>
              <w:rPr>
                <w:b/>
                <w:bCs/>
              </w:rPr>
            </w:pPr>
            <w:r w:rsidRPr="001F4BC3">
              <w:rPr>
                <w:rFonts w:hint="eastAsia"/>
                <w:b/>
                <w:bCs/>
              </w:rPr>
              <w:t>276-002-02</w:t>
            </w:r>
          </w:p>
        </w:tc>
        <w:tc>
          <w:tcPr>
            <w:tcW w:w="1275"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 xml:space="preserve">HW02 </w:t>
            </w:r>
            <w:r w:rsidRPr="001F4BC3">
              <w:rPr>
                <w:rFonts w:hint="eastAsia"/>
                <w:b/>
                <w:bCs/>
              </w:rPr>
              <w:t>医药废物</w:t>
            </w:r>
          </w:p>
        </w:tc>
        <w:tc>
          <w:tcPr>
            <w:tcW w:w="113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喷雾干燥车间</w:t>
            </w:r>
          </w:p>
        </w:tc>
        <w:tc>
          <w:tcPr>
            <w:tcW w:w="851"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陈启军</w:t>
            </w:r>
          </w:p>
        </w:tc>
        <w:tc>
          <w:tcPr>
            <w:tcW w:w="1978"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b/>
                <w:bCs/>
              </w:rPr>
              <w:t>18699986632</w:t>
            </w:r>
          </w:p>
        </w:tc>
        <w:tc>
          <w:tcPr>
            <w:tcW w:w="904"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245000</w:t>
            </w:r>
          </w:p>
        </w:tc>
        <w:tc>
          <w:tcPr>
            <w:tcW w:w="790"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发酵培养基残余物</w:t>
            </w:r>
          </w:p>
        </w:tc>
        <w:tc>
          <w:tcPr>
            <w:tcW w:w="1158" w:type="dxa"/>
            <w:vMerge/>
            <w:tcBorders>
              <w:top w:val="nil"/>
              <w:left w:val="single" w:sz="4" w:space="0" w:color="auto"/>
              <w:bottom w:val="nil"/>
              <w:right w:val="single" w:sz="4" w:space="0" w:color="auto"/>
            </w:tcBorders>
            <w:vAlign w:val="center"/>
            <w:hideMark/>
          </w:tcPr>
          <w:p w:rsidR="001F4BC3" w:rsidRPr="001F4BC3" w:rsidRDefault="001F4BC3" w:rsidP="001F4BC3">
            <w:pPr>
              <w:jc w:val="center"/>
              <w:rPr>
                <w:b/>
                <w:bCs/>
              </w:rPr>
            </w:pPr>
          </w:p>
        </w:tc>
        <w:tc>
          <w:tcPr>
            <w:tcW w:w="1287" w:type="dxa"/>
            <w:tcBorders>
              <w:top w:val="nil"/>
              <w:left w:val="nil"/>
              <w:bottom w:val="single" w:sz="4" w:space="0" w:color="auto"/>
              <w:right w:val="single" w:sz="4" w:space="0" w:color="auto"/>
            </w:tcBorders>
            <w:shd w:val="clear" w:color="auto" w:fill="auto"/>
            <w:vAlign w:val="center"/>
            <w:hideMark/>
          </w:tcPr>
          <w:p w:rsidR="001F4BC3" w:rsidRPr="001F4BC3" w:rsidRDefault="001F4BC3" w:rsidP="001F4BC3">
            <w:pPr>
              <w:jc w:val="center"/>
              <w:rPr>
                <w:b/>
                <w:bCs/>
              </w:rPr>
            </w:pPr>
            <w:r w:rsidRPr="001F4BC3">
              <w:rPr>
                <w:rFonts w:hint="eastAsia"/>
                <w:b/>
                <w:bCs/>
              </w:rPr>
              <w:t>优化生产工艺，改善运行管理，提升发酵水平，从源头上控制和降低发酵过程单位产品物料的使用，减少菌丝渣的排放；产生的菌丝渣经高温水解、高能电子束辐照、喷雾干燥处理系统无害化处理后，进行资源化综合利用于工业农作物定向种植，收获后作为川宁生物生产原料回用于生产系</w:t>
            </w:r>
            <w:r w:rsidRPr="001F4BC3">
              <w:rPr>
                <w:rFonts w:hint="eastAsia"/>
                <w:b/>
                <w:bCs/>
              </w:rPr>
              <w:lastRenderedPageBreak/>
              <w:t>统，确保其不进入食物链，形成一个闭环、受控的循环经济体系。</w:t>
            </w:r>
          </w:p>
        </w:tc>
        <w:tc>
          <w:tcPr>
            <w:tcW w:w="1098" w:type="dxa"/>
            <w:vMerge/>
            <w:tcBorders>
              <w:top w:val="nil"/>
              <w:left w:val="single" w:sz="4" w:space="0" w:color="auto"/>
              <w:bottom w:val="single" w:sz="4" w:space="0" w:color="000000"/>
              <w:right w:val="single" w:sz="4" w:space="0" w:color="auto"/>
            </w:tcBorders>
            <w:vAlign w:val="center"/>
            <w:hideMark/>
          </w:tcPr>
          <w:p w:rsidR="001F4BC3" w:rsidRPr="001F4BC3" w:rsidRDefault="001F4BC3" w:rsidP="001F4BC3">
            <w:pPr>
              <w:jc w:val="center"/>
              <w:rPr>
                <w:b/>
                <w:bCs/>
              </w:rPr>
            </w:pPr>
          </w:p>
        </w:tc>
        <w:tc>
          <w:tcPr>
            <w:tcW w:w="236" w:type="dxa"/>
            <w:tcBorders>
              <w:top w:val="nil"/>
              <w:left w:val="nil"/>
              <w:bottom w:val="nil"/>
              <w:right w:val="nil"/>
            </w:tcBorders>
            <w:shd w:val="clear" w:color="auto" w:fill="auto"/>
            <w:noWrap/>
            <w:vAlign w:val="center"/>
            <w:hideMark/>
          </w:tcPr>
          <w:p w:rsidR="001F4BC3" w:rsidRPr="001F4BC3" w:rsidRDefault="001F4BC3" w:rsidP="001F4BC3">
            <w:pPr>
              <w:jc w:val="center"/>
              <w:rPr>
                <w:b/>
                <w:bCs/>
              </w:rPr>
            </w:pPr>
          </w:p>
        </w:tc>
      </w:tr>
    </w:tbl>
    <w:p w:rsidR="00BA5C1E" w:rsidRPr="001F4BC3" w:rsidRDefault="00BA5C1E" w:rsidP="001F4BC3">
      <w:pPr>
        <w:jc w:val="center"/>
      </w:pPr>
    </w:p>
    <w:sectPr w:rsidR="00BA5C1E" w:rsidRPr="001F4BC3" w:rsidSect="001F4BC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C3"/>
    <w:rsid w:val="00086237"/>
    <w:rsid w:val="001F4BC3"/>
    <w:rsid w:val="00BA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3E453-EB1A-4C0C-A5BB-E64DD9DC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237"/>
    <w:rPr>
      <w:color w:val="0563C1" w:themeColor="hyperlink"/>
      <w:u w:val="single"/>
    </w:rPr>
  </w:style>
  <w:style w:type="character" w:styleId="a4">
    <w:name w:val="FollowedHyperlink"/>
    <w:basedOn w:val="a0"/>
    <w:uiPriority w:val="99"/>
    <w:semiHidden/>
    <w:unhideWhenUsed/>
    <w:rsid w:val="00086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2024-11-01T10:17:00Z</dcterms:created>
  <dcterms:modified xsi:type="dcterms:W3CDTF">2024-11-01T10:20:00Z</dcterms:modified>
</cp:coreProperties>
</file>